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576" w:rsidRDefault="00EF51B7">
      <w:pPr>
        <w:rPr>
          <w:rFonts w:ascii="Times New Roman" w:eastAsia="方正小标宋简体" w:hAnsi="Times New Roman" w:cs="Times New Roman"/>
          <w:kern w:val="0"/>
          <w:sz w:val="44"/>
          <w:szCs w:val="44"/>
        </w:rPr>
      </w:pPr>
      <w:bookmarkStart w:id="0" w:name="_GoBack"/>
      <w:bookmarkEnd w:id="0"/>
      <w:r>
        <w:rPr>
          <w:rFonts w:ascii="Times New Roman" w:eastAsia="仿宋_GB2312" w:hAnsi="Times New Roman" w:cs="Times New Roman"/>
          <w:sz w:val="32"/>
        </w:rPr>
        <w:t>附件：</w:t>
      </w:r>
    </w:p>
    <w:p w:rsidR="00EE6576" w:rsidRDefault="00EF51B7">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苏州工业园区关于进一步加大支持</w:t>
      </w:r>
    </w:p>
    <w:p w:rsidR="00EE6576" w:rsidRDefault="00EF51B7">
      <w:pPr>
        <w:jc w:val="center"/>
        <w:rPr>
          <w:rFonts w:ascii="Times New Roman" w:eastAsia="方正小标宋简体" w:hAnsi="Times New Roman" w:cs="Times New Roman"/>
          <w:kern w:val="0"/>
          <w:sz w:val="44"/>
          <w:szCs w:val="44"/>
        </w:rPr>
      </w:pPr>
      <w:r>
        <w:rPr>
          <w:rFonts w:ascii="Times New Roman" w:eastAsia="方正小标宋简体" w:hAnsi="Times New Roman" w:cs="Times New Roman"/>
          <w:kern w:val="0"/>
          <w:sz w:val="44"/>
          <w:szCs w:val="44"/>
        </w:rPr>
        <w:t>中小微企业转贷服务的意见</w:t>
      </w:r>
    </w:p>
    <w:p w:rsidR="00EE6576" w:rsidRDefault="00EF51B7">
      <w:pPr>
        <w:shd w:val="clear" w:color="auto" w:fill="FFFFFF"/>
        <w:snapToGrid w:val="0"/>
        <w:spacing w:beforeLines="100" w:before="312" w:afterLines="100" w:after="312" w:line="560" w:lineRule="exact"/>
        <w:jc w:val="center"/>
        <w:rPr>
          <w:rFonts w:ascii="Times New Roman" w:eastAsia="黑体" w:hAnsi="Times New Roman" w:cs="Times New Roman"/>
          <w:bCs/>
          <w:kern w:val="0"/>
          <w:sz w:val="32"/>
          <w:szCs w:val="32"/>
        </w:rPr>
      </w:pPr>
      <w:r>
        <w:rPr>
          <w:rFonts w:ascii="Times New Roman" w:eastAsia="黑体" w:hAnsi="Times New Roman" w:cs="Times New Roman"/>
          <w:bCs/>
          <w:sz w:val="32"/>
          <w:szCs w:val="32"/>
        </w:rPr>
        <w:t>第一章</w:t>
      </w:r>
      <w:r>
        <w:rPr>
          <w:rFonts w:ascii="Times New Roman" w:eastAsia="黑体" w:hAnsi="Times New Roman" w:cs="Times New Roman"/>
          <w:bCs/>
          <w:sz w:val="32"/>
          <w:szCs w:val="32"/>
        </w:rPr>
        <w:t xml:space="preserve">  </w:t>
      </w:r>
      <w:r>
        <w:rPr>
          <w:rFonts w:ascii="Times New Roman" w:eastAsia="黑体" w:hAnsi="Times New Roman" w:cs="Times New Roman"/>
          <w:bCs/>
          <w:sz w:val="32"/>
          <w:szCs w:val="32"/>
        </w:rPr>
        <w:t>总</w:t>
      </w:r>
      <w:r>
        <w:rPr>
          <w:rFonts w:ascii="Times New Roman" w:eastAsia="黑体" w:hAnsi="Times New Roman" w:cs="Times New Roman"/>
          <w:bCs/>
          <w:sz w:val="32"/>
          <w:szCs w:val="32"/>
        </w:rPr>
        <w:t xml:space="preserve">  </w:t>
      </w:r>
      <w:r>
        <w:rPr>
          <w:rFonts w:ascii="Times New Roman" w:eastAsia="黑体" w:hAnsi="Times New Roman" w:cs="Times New Roman"/>
          <w:bCs/>
          <w:sz w:val="32"/>
          <w:szCs w:val="32"/>
        </w:rPr>
        <w:t>则</w:t>
      </w:r>
    </w:p>
    <w:p w:rsidR="00EE6576" w:rsidRDefault="00EF51B7">
      <w:pPr>
        <w:snapToGrid w:val="0"/>
        <w:spacing w:line="560" w:lineRule="exact"/>
        <w:ind w:firstLineChars="200" w:firstLine="640"/>
        <w:rPr>
          <w:rFonts w:ascii="Times New Roman" w:eastAsia="仿宋_GB2312" w:hAnsi="Times New Roman" w:cs="Times New Roman"/>
          <w:b/>
          <w:bCs/>
          <w:shd w:val="clear" w:color="auto" w:fill="FFFFFF"/>
        </w:rPr>
      </w:pPr>
      <w:r>
        <w:rPr>
          <w:rFonts w:ascii="Times New Roman" w:eastAsia="黑体" w:hAnsi="Times New Roman" w:cs="Times New Roman"/>
          <w:sz w:val="32"/>
          <w:szCs w:val="32"/>
        </w:rPr>
        <w:t>第一条</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为了进一步完善苏州工业园区（以下简称</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园区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）综合金融服务体系，</w:t>
      </w:r>
      <w:r>
        <w:rPr>
          <w:rFonts w:ascii="Times New Roman" w:eastAsia="仿宋_GB2312" w:hAnsi="Times New Roman" w:cs="Times New Roman" w:hint="eastAsia"/>
          <w:sz w:val="32"/>
          <w:szCs w:val="32"/>
        </w:rPr>
        <w:t>深化支持中小微企业融资协调工作机制，促进中小微企业平稳健康发展，缓解企业因</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先还后贷</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引起的资金周转压力，切实降低企业融资成本，优化融资服务环境，根据《中华人民共和国民营经济促进法》</w:t>
      </w:r>
      <w:r>
        <w:rPr>
          <w:rFonts w:ascii="Times New Roman" w:eastAsia="仿宋_GB2312" w:hAnsi="Times New Roman" w:cs="Times New Roman" w:hint="eastAsia"/>
          <w:bCs/>
          <w:sz w:val="32"/>
          <w:szCs w:val="32"/>
          <w:shd w:val="clear" w:color="auto" w:fill="FFFFFF"/>
        </w:rPr>
        <w:t>等法律法规的要求</w:t>
      </w:r>
      <w:r>
        <w:rPr>
          <w:rFonts w:ascii="Times New Roman" w:eastAsia="仿宋_GB2312" w:hAnsi="Times New Roman" w:cs="Times New Roman" w:hint="eastAsia"/>
          <w:sz w:val="32"/>
          <w:szCs w:val="32"/>
        </w:rPr>
        <w:t>，结合园区实际，特制定本意见。</w:t>
      </w:r>
      <w:r>
        <w:rPr>
          <w:rFonts w:ascii="Times New Roman" w:eastAsia="仿宋_GB2312" w:hAnsi="Times New Roman" w:cs="Times New Roman"/>
          <w:sz w:val="32"/>
          <w:szCs w:val="32"/>
        </w:rPr>
        <w:t xml:space="preserve"> </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第二条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本意见所称“转贷资金”，是指为帮助符合银行信贷条件、续贷贷款已审核通过但尚未发放、足额还款出现暂时困难的中小微企业按期还贷、续贷所提供的资金。</w:t>
      </w:r>
    </w:p>
    <w:p w:rsidR="00EE6576" w:rsidRDefault="00EF51B7">
      <w:pPr>
        <w:shd w:val="clear" w:color="auto" w:fill="FFFFFF"/>
        <w:snapToGrid w:val="0"/>
        <w:spacing w:beforeLines="100" w:before="312" w:afterLines="100" w:after="312" w:line="560" w:lineRule="exact"/>
        <w:jc w:val="center"/>
        <w:rPr>
          <w:rFonts w:ascii="Times New Roman" w:eastAsia="黑体" w:hAnsi="Times New Roman" w:cs="Times New Roman"/>
          <w:bCs/>
          <w:sz w:val="32"/>
          <w:szCs w:val="32"/>
        </w:rPr>
      </w:pPr>
      <w:r>
        <w:rPr>
          <w:rFonts w:ascii="Times New Roman" w:eastAsia="黑体" w:hAnsi="Times New Roman" w:cs="Times New Roman"/>
          <w:bCs/>
          <w:sz w:val="32"/>
          <w:szCs w:val="32"/>
        </w:rPr>
        <w:t>第二章</w:t>
      </w:r>
      <w:r>
        <w:rPr>
          <w:rFonts w:ascii="Times New Roman" w:eastAsia="黑体" w:hAnsi="Times New Roman" w:cs="Times New Roman"/>
          <w:bCs/>
          <w:sz w:val="32"/>
          <w:szCs w:val="32"/>
        </w:rPr>
        <w:t xml:space="preserve">  </w:t>
      </w:r>
      <w:r>
        <w:rPr>
          <w:rFonts w:ascii="Times New Roman" w:eastAsia="黑体" w:hAnsi="Times New Roman" w:cs="Times New Roman"/>
          <w:bCs/>
          <w:sz w:val="32"/>
          <w:szCs w:val="32"/>
        </w:rPr>
        <w:t>设立和管理</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第三条</w:t>
      </w:r>
      <w:r>
        <w:rPr>
          <w:rFonts w:ascii="Times New Roman" w:eastAsia="黑体" w:hAnsi="Times New Roman" w:cs="Times New Roman" w:hint="eastAsia"/>
          <w:sz w:val="32"/>
          <w:szCs w:val="32"/>
        </w:rPr>
        <w:t xml:space="preserve"> </w:t>
      </w:r>
      <w:r>
        <w:rPr>
          <w:rFonts w:ascii="Times New Roman" w:eastAsia="仿宋_GB2312" w:hAnsi="Times New Roman" w:cs="Times New Roman" w:hint="eastAsia"/>
          <w:sz w:val="32"/>
          <w:szCs w:val="32"/>
        </w:rPr>
        <w:t>由园区金融局作为指导单位，由第三方作为转贷资金运营机构，按照本意见，负责转贷资金申请审核、使用管理、偿还管理等日常运营和管理工作。</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第四条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转贷资金由第三方运营机构自有资金出资。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第五条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园区中小微企业融资协调工作机制工作专班要积极引导已设立中小微融资协调工作专班的银行机构与中小微企业就转贷资金合作开展转贷业务。</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lastRenderedPageBreak/>
        <w:t>第六条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第三方运营机构要依托自有经营渠道，在合法合规的基础上，积极拓展业务，定期报告转贷资金运行情况。</w:t>
      </w:r>
    </w:p>
    <w:p w:rsidR="00EE6576" w:rsidRDefault="00EF51B7">
      <w:pPr>
        <w:shd w:val="clear" w:color="auto" w:fill="FFFFFF"/>
        <w:snapToGrid w:val="0"/>
        <w:spacing w:beforeLines="100" w:before="312" w:afterLines="100" w:after="312" w:line="560" w:lineRule="exact"/>
        <w:jc w:val="center"/>
        <w:rPr>
          <w:rFonts w:ascii="Times New Roman" w:eastAsia="黑体" w:hAnsi="Times New Roman" w:cs="Times New Roman"/>
          <w:bCs/>
          <w:sz w:val="32"/>
          <w:szCs w:val="32"/>
        </w:rPr>
      </w:pPr>
      <w:r>
        <w:rPr>
          <w:rFonts w:ascii="Times New Roman" w:eastAsia="黑体" w:hAnsi="Times New Roman" w:cs="Times New Roman" w:hint="eastAsia"/>
          <w:bCs/>
          <w:sz w:val="32"/>
          <w:szCs w:val="32"/>
        </w:rPr>
        <w:t>第三章</w:t>
      </w:r>
      <w:r>
        <w:rPr>
          <w:rFonts w:ascii="Times New Roman" w:eastAsia="黑体" w:hAnsi="Times New Roman" w:cs="Times New Roman"/>
          <w:bCs/>
          <w:sz w:val="32"/>
          <w:szCs w:val="32"/>
        </w:rPr>
        <w:t xml:space="preserve">  </w:t>
      </w:r>
      <w:r>
        <w:rPr>
          <w:rFonts w:ascii="Times New Roman" w:eastAsia="黑体" w:hAnsi="Times New Roman" w:cs="Times New Roman" w:hint="eastAsia"/>
          <w:bCs/>
          <w:sz w:val="32"/>
          <w:szCs w:val="32"/>
        </w:rPr>
        <w:t>支持对象和范围</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第七条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申请转贷资金支持的企业需为依法设立并实际从事经营活动、持续正常经营，符合国家相关划型标准规定的中型、小型和微型企业。</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第八条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企业存在下列任一情形的，不得申请使用转贷资金：</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（一）停产停业半年以上的；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近半年纳税记录无法反映企业正常生产经营活动的；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w:t>
      </w:r>
      <w:r>
        <w:rPr>
          <w:rFonts w:ascii="Times New Roman" w:eastAsia="仿宋_GB2312" w:hAnsi="Times New Roman" w:cs="Times New Roman" w:hint="eastAsia"/>
          <w:sz w:val="32"/>
          <w:szCs w:val="32"/>
        </w:rPr>
        <w:t>有信贷业务逾期三个月以上的；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w:t>
      </w:r>
      <w:r>
        <w:rPr>
          <w:rFonts w:ascii="Times New Roman" w:eastAsia="仿宋_GB2312" w:hAnsi="Times New Roman" w:cs="Times New Roman" w:hint="eastAsia"/>
          <w:sz w:val="32"/>
          <w:szCs w:val="32"/>
        </w:rPr>
        <w:t>被列入失信被执行人名单的；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w:t>
      </w:r>
      <w:r>
        <w:rPr>
          <w:rFonts w:ascii="Times New Roman" w:eastAsia="仿宋_GB2312" w:hAnsi="Times New Roman" w:cs="Times New Roman" w:hint="eastAsia"/>
          <w:sz w:val="32"/>
          <w:szCs w:val="32"/>
        </w:rPr>
        <w:t>企业或企业法定代表人、实际控制人、主要经营管理者在人民银行个人信用征信系统中有严重失信记录的；</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（六）</w:t>
      </w:r>
      <w:r>
        <w:rPr>
          <w:rFonts w:ascii="Times New Roman" w:eastAsia="仿宋_GB2312" w:hAnsi="Times New Roman" w:cs="Times New Roman" w:hint="eastAsia"/>
          <w:sz w:val="32"/>
          <w:szCs w:val="32"/>
        </w:rPr>
        <w:t>法律法规或国家有关政策禁止的其他情形。</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第九条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转贷资金仅用于第三方运营机构及</w:t>
      </w:r>
      <w:r>
        <w:rPr>
          <w:rFonts w:ascii="Times New Roman" w:eastAsia="仿宋_GB2312" w:hAnsi="Times New Roman" w:cs="Times New Roman" w:hint="eastAsia"/>
          <w:sz w:val="32"/>
          <w:szCs w:val="32"/>
        </w:rPr>
        <w:t>与其签订合作协议的贷款银行之间开展的转贷业务。所述合作协议项下，合作银行承认并愿意遵守本意见，并在约定的范围内与第三方运营机构开展转贷资金业务。</w:t>
      </w:r>
    </w:p>
    <w:p w:rsidR="00EE6576" w:rsidRDefault="00EF51B7">
      <w:pPr>
        <w:shd w:val="clear" w:color="auto" w:fill="FFFFFF"/>
        <w:snapToGrid w:val="0"/>
        <w:spacing w:beforeLines="100" w:before="312" w:afterLines="100" w:after="312" w:line="560" w:lineRule="exact"/>
        <w:jc w:val="center"/>
        <w:rPr>
          <w:rFonts w:ascii="Times New Roman" w:eastAsia="黑体" w:hAnsi="Times New Roman" w:cs="Times New Roman"/>
          <w:bCs/>
          <w:sz w:val="32"/>
          <w:szCs w:val="32"/>
        </w:rPr>
      </w:pPr>
      <w:r>
        <w:rPr>
          <w:rFonts w:ascii="Times New Roman" w:eastAsia="黑体" w:hAnsi="Times New Roman" w:cs="Times New Roman" w:hint="eastAsia"/>
          <w:bCs/>
          <w:sz w:val="32"/>
          <w:szCs w:val="32"/>
        </w:rPr>
        <w:t>第四章</w:t>
      </w:r>
      <w:r>
        <w:rPr>
          <w:rFonts w:ascii="Times New Roman" w:eastAsia="黑体" w:hAnsi="Times New Roman" w:cs="Times New Roman"/>
          <w:bCs/>
          <w:sz w:val="32"/>
          <w:szCs w:val="32"/>
        </w:rPr>
        <w:t xml:space="preserve">  </w:t>
      </w:r>
      <w:r>
        <w:rPr>
          <w:rFonts w:ascii="Times New Roman" w:eastAsia="黑体" w:hAnsi="Times New Roman" w:cs="Times New Roman" w:hint="eastAsia"/>
          <w:bCs/>
          <w:sz w:val="32"/>
          <w:szCs w:val="32"/>
        </w:rPr>
        <w:t>运行方式及流程</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转贷资金是促进金融服务实体经济有效维护金</w:t>
      </w:r>
      <w:r>
        <w:rPr>
          <w:rFonts w:ascii="Times New Roman" w:eastAsia="仿宋_GB2312" w:hAnsi="Times New Roman" w:cs="Times New Roman" w:hint="eastAsia"/>
          <w:sz w:val="32"/>
          <w:szCs w:val="32"/>
        </w:rPr>
        <w:lastRenderedPageBreak/>
        <w:t>融安全稳定的重要举措，可以缓解中小微企业转续贷资金周转压力，有效降低流动性风险。转贷资金使用应遵循“政府指导、市场主导、惠企纾困、风险可控”的基本原则，按照市场规律办事，由中小微企业、第三方运营机构和合作银行自愿参与，自主决策、自担风险。</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第十一条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第三方运营机构应当与合作银行就开展企业转贷</w:t>
      </w:r>
      <w:r>
        <w:rPr>
          <w:rFonts w:ascii="Times New Roman" w:eastAsia="仿宋_GB2312" w:hAnsi="Times New Roman" w:cs="Times New Roman" w:hint="eastAsia"/>
          <w:sz w:val="32"/>
          <w:szCs w:val="32"/>
        </w:rPr>
        <w:t>业务相关事项签订书面合作协议，明确合作方式、流程及双方的权利义务，建立和完善相关管理制度，规范资金管理，合理调度转贷资金。第三方运营机构和合作银行必须指定专人负责转贷业务管理工作。</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第十二条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为控制转贷业务的风险，单笔转贷金额不超过银行对企业的续贷金额。</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第十三条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原则上，转贷资金使用期限不超过</w:t>
      </w:r>
      <w:r>
        <w:rPr>
          <w:rFonts w:ascii="Times New Roman" w:eastAsia="仿宋_GB2312" w:hAnsi="Times New Roman" w:cs="Times New Roman"/>
          <w:bCs/>
          <w:sz w:val="32"/>
          <w:szCs w:val="32"/>
        </w:rPr>
        <w:t>10</w:t>
      </w:r>
      <w:r>
        <w:rPr>
          <w:rFonts w:ascii="Times New Roman" w:eastAsia="仿宋_GB2312" w:hAnsi="Times New Roman" w:cs="Times New Roman" w:hint="eastAsia"/>
          <w:sz w:val="32"/>
          <w:szCs w:val="32"/>
        </w:rPr>
        <w:t>日。</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第十四条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转贷资金实行有偿使用。第三方运营机构对使用转贷资金的企业收取转贷贷款利息，转贷贷款利率按</w:t>
      </w:r>
      <w:r>
        <w:rPr>
          <w:rFonts w:ascii="Times New Roman" w:eastAsia="仿宋_GB2312" w:hAnsi="Times New Roman" w:cs="Times New Roman"/>
          <w:sz w:val="32"/>
          <w:szCs w:val="32"/>
        </w:rPr>
        <w:t>0.25</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日执行，按实际使用天数计算。</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第十五条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转贷资金按照“企业申请，机构审核，银行承诺，转贷续贷”的基本程序，建立完善的转贷服务流程。企业可根据自身需要，在“园易融”平台上提交转贷申请，平台将申请点对点推送至相关银行。各银行也可推荐有需求的中小微企业提出转贷申请。</w:t>
      </w:r>
    </w:p>
    <w:p w:rsidR="00EE6576" w:rsidRDefault="00EF51B7">
      <w:pPr>
        <w:shd w:val="clear" w:color="auto" w:fill="FFFFFF"/>
        <w:snapToGrid w:val="0"/>
        <w:spacing w:beforeLines="100" w:before="312" w:afterLines="100" w:after="312" w:line="560" w:lineRule="exact"/>
        <w:jc w:val="center"/>
        <w:rPr>
          <w:rFonts w:ascii="Times New Roman" w:eastAsia="黑体" w:hAnsi="Times New Roman" w:cs="Times New Roman"/>
          <w:bCs/>
          <w:sz w:val="32"/>
          <w:szCs w:val="32"/>
        </w:rPr>
      </w:pPr>
      <w:r>
        <w:rPr>
          <w:rFonts w:ascii="Times New Roman" w:eastAsia="黑体" w:hAnsi="Times New Roman" w:cs="Times New Roman" w:hint="eastAsia"/>
          <w:bCs/>
          <w:sz w:val="32"/>
          <w:szCs w:val="32"/>
        </w:rPr>
        <w:t>第五章</w:t>
      </w:r>
      <w:r>
        <w:rPr>
          <w:rFonts w:ascii="Times New Roman" w:eastAsia="黑体" w:hAnsi="Times New Roman" w:cs="Times New Roman"/>
          <w:bCs/>
          <w:sz w:val="32"/>
          <w:szCs w:val="32"/>
        </w:rPr>
        <w:t xml:space="preserve">  </w:t>
      </w:r>
      <w:r>
        <w:rPr>
          <w:rFonts w:ascii="Times New Roman" w:eastAsia="黑体" w:hAnsi="Times New Roman" w:cs="Times New Roman" w:hint="eastAsia"/>
          <w:bCs/>
          <w:sz w:val="32"/>
          <w:szCs w:val="32"/>
        </w:rPr>
        <w:t>监督和风险控制</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第十六条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鼓励转贷资金以数字人民币形式进行发放及</w:t>
      </w:r>
      <w:r>
        <w:rPr>
          <w:rFonts w:ascii="Times New Roman" w:eastAsia="仿宋_GB2312" w:hAnsi="Times New Roman" w:cs="Times New Roman" w:hint="eastAsia"/>
          <w:sz w:val="32"/>
          <w:szCs w:val="32"/>
        </w:rPr>
        <w:lastRenderedPageBreak/>
        <w:t>收回，与合作银行约定转贷资金限期收回的相关条款，加强资金风险防控。</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第十七条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将转贷资金纳入风险补偿资金管理范围。当转贷业务出现逾期，在逾期</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天后、列入不良之前，风险补偿资金按规定条件对转贷逾期本金进行前置补偿。对由于不可抗力造成的转贷资金损失，园区风险补偿资金对第三方运营机构发放的转贷资金本金损失给予</w:t>
      </w:r>
      <w:r>
        <w:rPr>
          <w:rFonts w:ascii="Times New Roman" w:eastAsia="仿宋_GB2312" w:hAnsi="Times New Roman" w:cs="Times New Roman"/>
          <w:sz w:val="32"/>
          <w:szCs w:val="32"/>
        </w:rPr>
        <w:t>30%</w:t>
      </w:r>
      <w:r>
        <w:rPr>
          <w:rFonts w:ascii="Times New Roman" w:eastAsia="仿宋_GB2312" w:hAnsi="Times New Roman" w:cs="Times New Roman" w:hint="eastAsia"/>
          <w:sz w:val="32"/>
          <w:szCs w:val="32"/>
        </w:rPr>
        <w:t>的补偿，其余转贷资金本息损失由第三方运营机构承担。且园区风险补偿资金池对单户中小微企业引起的损失累计补偿不超过</w:t>
      </w:r>
      <w:r>
        <w:rPr>
          <w:rFonts w:ascii="Times New Roman" w:eastAsia="仿宋_GB2312" w:hAnsi="Times New Roman" w:cs="Times New Roman"/>
          <w:sz w:val="32"/>
          <w:szCs w:val="32"/>
        </w:rPr>
        <w:t>1000</w:t>
      </w:r>
      <w:r>
        <w:rPr>
          <w:rFonts w:ascii="Times New Roman" w:eastAsia="仿宋_GB2312" w:hAnsi="Times New Roman" w:cs="Times New Roman" w:hint="eastAsia"/>
          <w:sz w:val="32"/>
          <w:szCs w:val="32"/>
        </w:rPr>
        <w:t>万元，超过部分由第三方运营机构承担。</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第十八条</w:t>
      </w:r>
      <w:r>
        <w:rPr>
          <w:rFonts w:ascii="Times New Roman" w:eastAsia="黑体" w:hAnsi="Times New Roman" w:cs="Times New Roman"/>
          <w:sz w:val="32"/>
          <w:szCs w:val="32"/>
        </w:rPr>
        <w:t xml:space="preserve"> </w:t>
      </w:r>
      <w:r>
        <w:rPr>
          <w:rFonts w:ascii="Times New Roman" w:eastAsia="仿宋_GB2312" w:hAnsi="Times New Roman" w:cs="Times New Roman" w:hint="eastAsia"/>
          <w:sz w:val="32"/>
          <w:szCs w:val="32"/>
        </w:rPr>
        <w:t>第三方运营机构对转贷资金实行全程跟踪管理，及时掌握企业风险变化情况，有效防范资金风险。第三方运营机构应当制定并完善操作细则，严格按照有关程序办理转贷资金审批手续，及时催收还款，自</w:t>
      </w:r>
      <w:r>
        <w:rPr>
          <w:rFonts w:ascii="Times New Roman" w:eastAsia="仿宋_GB2312" w:hAnsi="Times New Roman" w:cs="Times New Roman" w:hint="eastAsia"/>
          <w:sz w:val="32"/>
          <w:szCs w:val="32"/>
        </w:rPr>
        <w:t>觉接受上级部门监督管理；督促相关合作银行依照约定尽快办理续贷手续，及时归还转贷资金，提高资金使用效率。第三方运营机构对存在风险的转贷资金及时采取止损和追偿措施。</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第十九条</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合作银行对同意续贷且贷款企业落实续贷条件的，承担足额按期发放续贷贷款的责任。因银行过错或者违约导致转贷资金损失的，或因银行工作人员存在弄虚作假、失职渎职，违反规定程序，造成转贷资金损失的，银行承担相应的赔偿责任。相关责任人按照有关规定予以追责。但非银行原因导致确实无法放款的情形除外，包括但不限于抵质押物被查封，借款人死亡，或存在其他不符合</w:t>
      </w:r>
      <w:r>
        <w:rPr>
          <w:rFonts w:ascii="Times New Roman" w:eastAsia="仿宋_GB2312" w:hAnsi="Times New Roman" w:cs="Times New Roman" w:hint="eastAsia"/>
          <w:sz w:val="32"/>
          <w:szCs w:val="32"/>
        </w:rPr>
        <w:t>监管要求的情</w:t>
      </w:r>
      <w:r>
        <w:rPr>
          <w:rFonts w:ascii="Times New Roman" w:eastAsia="仿宋_GB2312" w:hAnsi="Times New Roman" w:cs="Times New Roman" w:hint="eastAsia"/>
          <w:sz w:val="32"/>
          <w:szCs w:val="32"/>
        </w:rPr>
        <w:lastRenderedPageBreak/>
        <w:t>况，具体情形可由合作银行与第三方运营机构在合作协议中进行明确。</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第二十条</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合作银行不得单独因企业使用转贷资金而对其进行</w:t>
      </w:r>
      <w:r>
        <w:rPr>
          <w:rFonts w:eastAsia="仿宋_GB2312" w:hint="eastAsia"/>
          <w:sz w:val="32"/>
          <w:szCs w:val="32"/>
        </w:rPr>
        <w:t>贷款</w:t>
      </w:r>
      <w:r>
        <w:rPr>
          <w:rFonts w:ascii="Times New Roman" w:eastAsia="仿宋_GB2312" w:hAnsi="Times New Roman" w:cs="Times New Roman" w:hint="eastAsia"/>
          <w:sz w:val="32"/>
          <w:szCs w:val="32"/>
        </w:rPr>
        <w:t>五级分类</w:t>
      </w:r>
      <w:r>
        <w:rPr>
          <w:rFonts w:eastAsia="仿宋_GB2312" w:hint="eastAsia"/>
          <w:sz w:val="32"/>
          <w:szCs w:val="32"/>
        </w:rPr>
        <w:t>、信用评级下调</w:t>
      </w:r>
      <w:r>
        <w:rPr>
          <w:rFonts w:ascii="Times New Roman" w:eastAsia="仿宋_GB2312" w:hAnsi="Times New Roman" w:cs="Times New Roman" w:hint="eastAsia"/>
          <w:sz w:val="32"/>
          <w:szCs w:val="32"/>
        </w:rPr>
        <w:t>。</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第二十一条</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建立转贷业务尽职免责机制，对第三方运营机构依法依规操作转贷业务，未谋取私利，由于客观原因或不可控因素等造成转贷资金损失的，依法免除转贷业务相关人员、决策审批人责任，不作负面评价。</w:t>
      </w:r>
    </w:p>
    <w:p w:rsidR="00EE6576" w:rsidRDefault="00EF51B7">
      <w:pPr>
        <w:shd w:val="clear" w:color="auto" w:fill="FFFFFF"/>
        <w:snapToGrid w:val="0"/>
        <w:spacing w:beforeLines="100" w:before="312" w:afterLines="100" w:after="312" w:line="560" w:lineRule="exact"/>
        <w:jc w:val="center"/>
        <w:rPr>
          <w:rFonts w:ascii="Times New Roman" w:eastAsia="仿宋_GB2312" w:hAnsi="Times New Roman" w:cs="Times New Roman"/>
          <w:sz w:val="32"/>
          <w:szCs w:val="32"/>
        </w:rPr>
      </w:pPr>
      <w:r>
        <w:rPr>
          <w:rFonts w:ascii="Times New Roman" w:eastAsia="黑体" w:hAnsi="Times New Roman" w:cs="Times New Roman" w:hint="eastAsia"/>
          <w:bCs/>
          <w:sz w:val="32"/>
          <w:szCs w:val="32"/>
        </w:rPr>
        <w:t>第六章</w:t>
      </w:r>
      <w:r>
        <w:rPr>
          <w:rFonts w:ascii="Times New Roman" w:eastAsia="黑体" w:hAnsi="Times New Roman" w:cs="Times New Roman"/>
          <w:bCs/>
          <w:sz w:val="32"/>
          <w:szCs w:val="32"/>
        </w:rPr>
        <w:t xml:space="preserve">  </w:t>
      </w:r>
      <w:r>
        <w:rPr>
          <w:rFonts w:ascii="Times New Roman" w:eastAsia="黑体" w:hAnsi="Times New Roman" w:cs="Times New Roman" w:hint="eastAsia"/>
          <w:bCs/>
          <w:sz w:val="32"/>
          <w:szCs w:val="32"/>
        </w:rPr>
        <w:t>附</w:t>
      </w:r>
      <w:r>
        <w:rPr>
          <w:rFonts w:ascii="Times New Roman" w:eastAsia="黑体" w:hAnsi="Times New Roman" w:cs="Times New Roman"/>
          <w:bCs/>
          <w:sz w:val="32"/>
          <w:szCs w:val="32"/>
        </w:rPr>
        <w:t xml:space="preserve">  </w:t>
      </w:r>
      <w:r>
        <w:rPr>
          <w:rFonts w:ascii="Times New Roman" w:eastAsia="黑体" w:hAnsi="Times New Roman" w:cs="Times New Roman" w:hint="eastAsia"/>
          <w:bCs/>
          <w:sz w:val="32"/>
          <w:szCs w:val="32"/>
        </w:rPr>
        <w:t>则</w:t>
      </w:r>
    </w:p>
    <w:p w:rsidR="00EE6576" w:rsidRDefault="00EF51B7">
      <w:pPr>
        <w:shd w:val="clear" w:color="auto" w:fill="FFFFFF"/>
        <w:snapToGrid w:val="0"/>
        <w:spacing w:line="56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第二十二条</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本意见自发布之日起实施，有效期三年。原《苏州工业园区转贷资金管理规定》（苏园管规字〔</w:t>
      </w:r>
      <w:r>
        <w:rPr>
          <w:rFonts w:ascii="Times New Roman" w:eastAsia="仿宋_GB2312" w:hAnsi="Times New Roman" w:cs="Times New Roman"/>
          <w:sz w:val="32"/>
          <w:szCs w:val="32"/>
        </w:rPr>
        <w:t>2024</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号）同时废止。</w:t>
      </w:r>
    </w:p>
    <w:p w:rsidR="00EE6576" w:rsidRDefault="00EE6576">
      <w:pPr>
        <w:adjustRightInd w:val="0"/>
        <w:jc w:val="left"/>
        <w:rPr>
          <w:rFonts w:ascii="Times New Roman" w:eastAsia="宋体" w:hAnsi="Times New Roman" w:cs="Times New Roman"/>
          <w:spacing w:val="-25"/>
          <w:kern w:val="0"/>
          <w:sz w:val="24"/>
        </w:rPr>
      </w:pPr>
    </w:p>
    <w:p w:rsidR="00EE6576" w:rsidRDefault="00EE6576">
      <w:pPr>
        <w:spacing w:line="20" w:lineRule="exact"/>
        <w:ind w:rightChars="-68" w:right="-143"/>
        <w:jc w:val="center"/>
        <w:rPr>
          <w:rFonts w:ascii="Times New Roman" w:eastAsia="仿宋" w:hAnsi="Times New Roman" w:cs="Times New Roman"/>
          <w:sz w:val="32"/>
          <w:szCs w:val="32"/>
        </w:rPr>
      </w:pPr>
    </w:p>
    <w:p w:rsidR="00EE6576" w:rsidRDefault="00EE6576">
      <w:pPr>
        <w:adjustRightInd w:val="0"/>
        <w:jc w:val="left"/>
        <w:rPr>
          <w:rFonts w:ascii="Times New Roman" w:eastAsia="宋体" w:hAnsi="Times New Roman" w:cs="Times New Roman"/>
          <w:spacing w:val="-25"/>
          <w:kern w:val="0"/>
          <w:sz w:val="24"/>
        </w:rPr>
      </w:pPr>
    </w:p>
    <w:p w:rsidR="00EE6576" w:rsidRDefault="00EE6576">
      <w:pPr>
        <w:spacing w:line="20" w:lineRule="exact"/>
        <w:ind w:rightChars="-68" w:right="-143"/>
        <w:jc w:val="center"/>
        <w:rPr>
          <w:rFonts w:ascii="Times New Roman" w:eastAsia="仿宋" w:hAnsi="Times New Roman" w:cs="Times New Roman"/>
          <w:sz w:val="32"/>
          <w:szCs w:val="32"/>
        </w:rPr>
      </w:pPr>
    </w:p>
    <w:p w:rsidR="00EE6576" w:rsidRDefault="00EE6576">
      <w:pPr>
        <w:adjustRightInd w:val="0"/>
        <w:snapToGrid w:val="0"/>
        <w:spacing w:line="680" w:lineRule="exact"/>
        <w:ind w:right="2560"/>
        <w:rPr>
          <w:rFonts w:ascii="Times New Roman" w:eastAsia="仿宋_GB2312" w:hAnsi="Times New Roman" w:cs="Times New Roman"/>
          <w:sz w:val="32"/>
          <w:szCs w:val="32"/>
        </w:rPr>
      </w:pPr>
    </w:p>
    <w:p w:rsidR="00EE6576" w:rsidRDefault="00EE6576">
      <w:pPr>
        <w:spacing w:line="580" w:lineRule="exact"/>
        <w:jc w:val="right"/>
        <w:rPr>
          <w:rFonts w:ascii="Times New Roman" w:eastAsia="仿宋_GB2312" w:hAnsi="Times New Roman" w:cs="Times New Roman"/>
          <w:sz w:val="32"/>
        </w:rPr>
      </w:pPr>
    </w:p>
    <w:sectPr w:rsidR="00EE657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51B7" w:rsidRDefault="00EF51B7" w:rsidP="00155616">
      <w:r>
        <w:separator/>
      </w:r>
    </w:p>
  </w:endnote>
  <w:endnote w:type="continuationSeparator" w:id="0">
    <w:p w:rsidR="00EF51B7" w:rsidRDefault="00EF51B7" w:rsidP="001556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宋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51B7" w:rsidRDefault="00EF51B7" w:rsidP="00155616">
      <w:r>
        <w:separator/>
      </w:r>
    </w:p>
  </w:footnote>
  <w:footnote w:type="continuationSeparator" w:id="0">
    <w:p w:rsidR="00EF51B7" w:rsidRDefault="00EF51B7" w:rsidP="001556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D60"/>
    <w:rsid w:val="F7F2C9BE"/>
    <w:rsid w:val="000B17D7"/>
    <w:rsid w:val="00107DD6"/>
    <w:rsid w:val="00155616"/>
    <w:rsid w:val="00372D60"/>
    <w:rsid w:val="00416CCD"/>
    <w:rsid w:val="0042389D"/>
    <w:rsid w:val="006466B1"/>
    <w:rsid w:val="006A2956"/>
    <w:rsid w:val="006D6C41"/>
    <w:rsid w:val="0080685F"/>
    <w:rsid w:val="00834BB7"/>
    <w:rsid w:val="008B047A"/>
    <w:rsid w:val="00914663"/>
    <w:rsid w:val="009D4503"/>
    <w:rsid w:val="009F63C8"/>
    <w:rsid w:val="00E90B7B"/>
    <w:rsid w:val="00EB7843"/>
    <w:rsid w:val="00EE6576"/>
    <w:rsid w:val="00EF51B7"/>
    <w:rsid w:val="00F40465"/>
    <w:rsid w:val="2BC74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6F2F378-1366-417F-B94E-AFFDB4323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金融发展和风险防范局-姜楠</dc:creator>
  <cp:lastModifiedBy>Microsoft 帐户</cp:lastModifiedBy>
  <cp:revision>22</cp:revision>
  <dcterms:created xsi:type="dcterms:W3CDTF">2025-10-11T17:16:00Z</dcterms:created>
  <dcterms:modified xsi:type="dcterms:W3CDTF">2025-10-11T08:10:00Z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2052-12.8.2.16988</vt:lpwstr>
  </property>
  <property fmtid="{D5CDD505-2E9C-101B-9397-08002B2CF9AE}" pid="3" name="ICV">
    <vt:lpwstr>8082B9E72559DD90C706EA6851892E7C_42</vt:lpwstr>
  </property>
</Properties>
</file>